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9月普陀.png9月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9月普陀.png9月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27</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1F52ED5"/>
    <w:rsid w:val="04A82E34"/>
    <w:rsid w:val="0CD53980"/>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337EC3"/>
    <w:rsid w:val="2DFC046A"/>
    <w:rsid w:val="2E633FAB"/>
    <w:rsid w:val="3AE34CE5"/>
    <w:rsid w:val="3B732FF0"/>
    <w:rsid w:val="3C5F4541"/>
    <w:rsid w:val="40CC5807"/>
    <w:rsid w:val="416D4DAB"/>
    <w:rsid w:val="42B403CA"/>
    <w:rsid w:val="4565666D"/>
    <w:rsid w:val="4573079F"/>
    <w:rsid w:val="46F53587"/>
    <w:rsid w:val="48913449"/>
    <w:rsid w:val="490C0FF4"/>
    <w:rsid w:val="54373F44"/>
    <w:rsid w:val="55DF04EE"/>
    <w:rsid w:val="5819722A"/>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24</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2021-08-26T08:48:16Z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45C29F57D07F4CDFA40DC4E5E0D5947C</vt:lpwstr>
  </property>
</Properties>
</file>